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BF2C" w14:textId="1DC45883" w:rsidR="00C24362" w:rsidRDefault="00356328" w:rsidP="00C24362">
      <w:pPr>
        <w:pStyle w:val="Nagwek5"/>
        <w:spacing w:after="120" w:line="360" w:lineRule="auto"/>
        <w:jc w:val="center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 xml:space="preserve">Załącznik nr </w:t>
      </w:r>
      <w:r w:rsidR="00522C62">
        <w:rPr>
          <w:rFonts w:ascii="Arial" w:hAnsi="Arial" w:cs="Arial"/>
          <w:spacing w:val="20"/>
          <w:sz w:val="22"/>
          <w:szCs w:val="22"/>
        </w:rPr>
        <w:t>9</w:t>
      </w:r>
    </w:p>
    <w:p w14:paraId="6F6EB966" w14:textId="7D3BBD2B" w:rsidR="00AF371C" w:rsidRPr="007F1871" w:rsidRDefault="00C24362" w:rsidP="00AF371C">
      <w:pPr>
        <w:pStyle w:val="Nagwek5"/>
        <w:spacing w:line="360" w:lineRule="auto"/>
        <w:jc w:val="center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</w:rPr>
        <w:t>do Generalnej Umowy Dystrybucyjnej nr</w:t>
      </w:r>
      <w:r w:rsidR="00C34A7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A878AA">
        <w:rPr>
          <w:rFonts w:ascii="Arial" w:hAnsi="Arial" w:cs="Arial"/>
          <w:b w:val="0"/>
          <w:sz w:val="22"/>
          <w:szCs w:val="22"/>
          <w:lang w:val="pl-PL"/>
        </w:rPr>
        <w:t>………………….</w:t>
      </w:r>
    </w:p>
    <w:p w14:paraId="05CB63A9" w14:textId="77777777" w:rsidR="00AF371C" w:rsidRPr="00AF371C" w:rsidRDefault="00AF371C" w:rsidP="00AF371C">
      <w:pPr>
        <w:keepNext/>
        <w:tabs>
          <w:tab w:val="clear" w:pos="4536"/>
          <w:tab w:val="clear" w:pos="9072"/>
        </w:tabs>
        <w:spacing w:before="120" w:line="360" w:lineRule="auto"/>
        <w:jc w:val="center"/>
        <w:outlineLvl w:val="4"/>
        <w:rPr>
          <w:rFonts w:ascii="Arial" w:hAnsi="Arial" w:cs="Arial"/>
          <w:color w:val="auto"/>
          <w:sz w:val="22"/>
          <w:szCs w:val="22"/>
        </w:rPr>
      </w:pPr>
      <w:r w:rsidRPr="00AF371C">
        <w:rPr>
          <w:rFonts w:ascii="Arial" w:hAnsi="Arial" w:cs="Arial"/>
          <w:color w:val="auto"/>
          <w:sz w:val="22"/>
          <w:szCs w:val="22"/>
        </w:rPr>
        <w:t>zawartej pomiędzy</w:t>
      </w:r>
    </w:p>
    <w:p w14:paraId="66BB098F" w14:textId="77777777" w:rsidR="00AF371C" w:rsidRDefault="00AF371C" w:rsidP="00AF371C">
      <w:pPr>
        <w:spacing w:line="320" w:lineRule="exact"/>
        <w:jc w:val="center"/>
        <w:rPr>
          <w:rFonts w:ascii="Arial" w:hAnsi="Arial" w:cs="Arial"/>
          <w:color w:val="auto"/>
          <w:sz w:val="22"/>
          <w:szCs w:val="22"/>
        </w:rPr>
      </w:pPr>
      <w:r w:rsidRPr="00AF371C">
        <w:rPr>
          <w:rFonts w:ascii="Arial" w:hAnsi="Arial" w:cs="Arial"/>
          <w:color w:val="auto"/>
          <w:sz w:val="22"/>
          <w:szCs w:val="22"/>
        </w:rPr>
        <w:t>Energoserwis Kleszczów Sp. z o.o. (</w:t>
      </w:r>
      <w:r w:rsidRPr="00AF371C">
        <w:rPr>
          <w:rFonts w:ascii="Arial" w:hAnsi="Arial" w:cs="Arial"/>
          <w:b/>
          <w:color w:val="auto"/>
          <w:sz w:val="22"/>
          <w:szCs w:val="22"/>
        </w:rPr>
        <w:t>OSD</w:t>
      </w:r>
      <w:r w:rsidRPr="00AF371C">
        <w:rPr>
          <w:rFonts w:ascii="Arial" w:hAnsi="Arial" w:cs="Arial"/>
          <w:color w:val="auto"/>
          <w:sz w:val="22"/>
          <w:szCs w:val="22"/>
        </w:rPr>
        <w:t>)</w:t>
      </w:r>
    </w:p>
    <w:p w14:paraId="306A9183" w14:textId="77777777" w:rsidR="003C4BDE" w:rsidRPr="00AF371C" w:rsidRDefault="003C4BDE" w:rsidP="00AF371C">
      <w:pPr>
        <w:spacing w:line="320" w:lineRule="exact"/>
        <w:jc w:val="center"/>
        <w:rPr>
          <w:rFonts w:ascii="Arial" w:hAnsi="Arial" w:cs="Arial"/>
          <w:color w:val="auto"/>
          <w:sz w:val="22"/>
          <w:szCs w:val="22"/>
        </w:rPr>
      </w:pPr>
    </w:p>
    <w:p w14:paraId="035D0AE9" w14:textId="50F97946" w:rsidR="00792B22" w:rsidRPr="0049332B" w:rsidRDefault="007F1871" w:rsidP="00AF371C">
      <w:pPr>
        <w:pStyle w:val="Nagwek5"/>
        <w:spacing w:line="360" w:lineRule="auto"/>
        <w:jc w:val="center"/>
        <w:rPr>
          <w:color w:val="auto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 </w:t>
      </w:r>
      <w:r w:rsidR="00A878AA">
        <w:rPr>
          <w:rFonts w:ascii="Arial" w:hAnsi="Arial" w:cs="Arial"/>
          <w:b w:val="0"/>
          <w:bCs w:val="0"/>
          <w:sz w:val="22"/>
          <w:szCs w:val="22"/>
          <w:lang w:val="pl-PL"/>
        </w:rPr>
        <w:t>……………</w:t>
      </w:r>
      <w:r w:rsidR="00686751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A878AA">
        <w:rPr>
          <w:rFonts w:ascii="Arial" w:hAnsi="Arial" w:cs="Arial"/>
          <w:b w:val="0"/>
          <w:bCs w:val="0"/>
          <w:sz w:val="22"/>
          <w:szCs w:val="22"/>
          <w:lang w:val="pl-PL"/>
        </w:rPr>
        <w:t>………………</w:t>
      </w:r>
      <w:r w:rsidR="008F59D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AF371C" w:rsidRPr="008F59D5">
        <w:rPr>
          <w:rFonts w:ascii="Arial" w:hAnsi="Arial" w:cs="Arial"/>
          <w:b w:val="0"/>
          <w:bCs w:val="0"/>
          <w:color w:val="auto"/>
          <w:sz w:val="22"/>
          <w:szCs w:val="22"/>
        </w:rPr>
        <w:t>(</w:t>
      </w:r>
      <w:r w:rsidR="00522C62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nazwa </w:t>
      </w:r>
      <w:r w:rsidR="00AF371C" w:rsidRPr="00AF371C">
        <w:rPr>
          <w:rFonts w:ascii="Arial" w:hAnsi="Arial" w:cs="Arial"/>
          <w:bCs w:val="0"/>
          <w:color w:val="auto"/>
          <w:sz w:val="22"/>
          <w:szCs w:val="22"/>
        </w:rPr>
        <w:t>Sprzedawc</w:t>
      </w:r>
      <w:r w:rsidR="00522C62">
        <w:rPr>
          <w:rFonts w:ascii="Arial" w:hAnsi="Arial" w:cs="Arial"/>
          <w:bCs w:val="0"/>
          <w:color w:val="auto"/>
          <w:sz w:val="22"/>
          <w:szCs w:val="22"/>
        </w:rPr>
        <w:t>y</w:t>
      </w:r>
      <w:r w:rsidR="00AF371C" w:rsidRPr="00AF371C">
        <w:rPr>
          <w:rFonts w:ascii="Arial" w:hAnsi="Arial" w:cs="Arial"/>
          <w:b w:val="0"/>
          <w:bCs w:val="0"/>
          <w:color w:val="auto"/>
          <w:sz w:val="22"/>
          <w:szCs w:val="22"/>
        </w:rPr>
        <w:t>)</w:t>
      </w:r>
    </w:p>
    <w:p w14:paraId="23784897" w14:textId="77777777" w:rsidR="00A970CB" w:rsidRPr="0049332B" w:rsidRDefault="00A970CB" w:rsidP="00A970CB">
      <w:pPr>
        <w:pStyle w:val="styl0"/>
        <w:spacing w:line="320" w:lineRule="exact"/>
        <w:jc w:val="center"/>
      </w:pPr>
    </w:p>
    <w:p w14:paraId="2EEE4CBA" w14:textId="77777777" w:rsidR="00A970CB" w:rsidRPr="0049332B" w:rsidRDefault="00A970CB" w:rsidP="00A970CB">
      <w:pPr>
        <w:pStyle w:val="styl0"/>
        <w:jc w:val="left"/>
        <w:rPr>
          <w:rFonts w:ascii="Arial" w:hAnsi="Arial" w:cs="Arial"/>
          <w:b/>
          <w:szCs w:val="24"/>
        </w:rPr>
      </w:pPr>
    </w:p>
    <w:p w14:paraId="7F936ED0" w14:textId="186B65CF" w:rsidR="00A970CB" w:rsidRPr="00F94FBA" w:rsidRDefault="00522C62" w:rsidP="00522C62">
      <w:pPr>
        <w:pStyle w:val="styl0"/>
        <w:jc w:val="center"/>
        <w:rPr>
          <w:rFonts w:ascii="Arial" w:hAnsi="Arial" w:cs="Arial"/>
          <w:b/>
          <w:szCs w:val="24"/>
        </w:rPr>
      </w:pPr>
      <w:r w:rsidRPr="00F94FBA">
        <w:rPr>
          <w:rFonts w:ascii="Arial" w:hAnsi="Arial" w:cs="Arial"/>
          <w:b/>
          <w:szCs w:val="24"/>
        </w:rPr>
        <w:t>ZASADY SPRZEDAŻY REZERWOWEJ</w:t>
      </w:r>
    </w:p>
    <w:p w14:paraId="560F2150" w14:textId="77777777" w:rsidR="00A970CB" w:rsidRPr="0049332B" w:rsidRDefault="00A970CB" w:rsidP="00A970CB">
      <w:pPr>
        <w:pStyle w:val="styl0"/>
        <w:jc w:val="left"/>
        <w:rPr>
          <w:rFonts w:ascii="Arial" w:hAnsi="Arial" w:cs="Arial"/>
          <w:b/>
          <w:szCs w:val="24"/>
        </w:rPr>
      </w:pPr>
    </w:p>
    <w:p w14:paraId="5BBA3B12" w14:textId="77777777" w:rsidR="00522C62" w:rsidRPr="00522C62" w:rsidRDefault="00522C62" w:rsidP="00522C62">
      <w:pPr>
        <w:numPr>
          <w:ilvl w:val="0"/>
          <w:numId w:val="3"/>
        </w:numPr>
        <w:tabs>
          <w:tab w:val="clear" w:pos="4536"/>
          <w:tab w:val="clear" w:pos="9072"/>
        </w:tabs>
        <w:spacing w:after="142" w:line="271" w:lineRule="auto"/>
        <w:ind w:right="38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Sprzedawca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, który wyraził zgodę na pełnienie funkcji sprzedawcy rezerwowego:  </w:t>
      </w:r>
    </w:p>
    <w:p w14:paraId="4EFAF23D" w14:textId="26051CEC" w:rsidR="00522C62" w:rsidRPr="00522C62" w:rsidRDefault="00522C62" w:rsidP="00522C62">
      <w:pPr>
        <w:pStyle w:val="Akapitzlist"/>
        <w:numPr>
          <w:ilvl w:val="0"/>
          <w:numId w:val="5"/>
        </w:numPr>
        <w:tabs>
          <w:tab w:val="clear" w:pos="4536"/>
          <w:tab w:val="clear" w:pos="9072"/>
        </w:tabs>
        <w:spacing w:after="142" w:line="271" w:lineRule="auto"/>
        <w:ind w:right="38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składa w stosunku do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URD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, którzy wskazali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Sprzedawcę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jako sprzedawcę rezerwowego, ofertę zawarcia umowy sprzedaży rezerwowej, z przyczyn wskazanych w Ustawie i IRiESD, </w:t>
      </w:r>
    </w:p>
    <w:p w14:paraId="1278FB62" w14:textId="248472AC" w:rsidR="00522C62" w:rsidRDefault="00522C62" w:rsidP="00522C62">
      <w:pPr>
        <w:pStyle w:val="Akapitzlist"/>
        <w:numPr>
          <w:ilvl w:val="0"/>
          <w:numId w:val="5"/>
        </w:numPr>
        <w:tabs>
          <w:tab w:val="clear" w:pos="4536"/>
          <w:tab w:val="clear" w:pos="9072"/>
        </w:tabs>
        <w:spacing w:after="142" w:line="271" w:lineRule="auto"/>
        <w:ind w:right="38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przekazuje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aktualną informację o adresie strony internetowej, na której zostały opublikowane warunki sprzedaży rezerwowej. W przypadku zmiany ww. adresu strony internetowej,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Sprzedawca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przekazuje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nowy adres strony internetowej, co najmniej 14 dni kalendarzowych przed terminem zmiany tego adresu.</w:t>
      </w:r>
      <w:r w:rsidRPr="00522C62">
        <w:rPr>
          <w:rFonts w:ascii="Arial" w:eastAsia="Arial" w:hAnsi="Arial" w:cs="Arial"/>
          <w:kern w:val="2"/>
          <w:szCs w:val="22"/>
          <w14:ligatures w14:val="standardContextual"/>
        </w:rPr>
        <w:t xml:space="preserve"> 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Powyższe informacje przekazuje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w formie elektronicznej na adres poczty elektronicznej </w:t>
      </w:r>
      <w:r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wskazany w ust. </w:t>
      </w:r>
      <w:r w:rsidR="00EF2C7B"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4</w:t>
      </w:r>
      <w:r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pkt </w:t>
      </w:r>
      <w:r w:rsidR="00DC7B93"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2</w:t>
      </w:r>
      <w:r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) Załącznika nr </w:t>
      </w:r>
      <w:r w:rsidR="00DC7B93"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2</w:t>
      </w:r>
      <w:r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do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Umowy,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</w:t>
      </w:r>
    </w:p>
    <w:p w14:paraId="465089E9" w14:textId="77777777" w:rsidR="00522C62" w:rsidRDefault="00522C62" w:rsidP="00522C62">
      <w:pPr>
        <w:pStyle w:val="Akapitzlist"/>
        <w:numPr>
          <w:ilvl w:val="0"/>
          <w:numId w:val="5"/>
        </w:numPr>
        <w:tabs>
          <w:tab w:val="clear" w:pos="4536"/>
          <w:tab w:val="clear" w:pos="9072"/>
        </w:tabs>
        <w:spacing w:after="142" w:line="271" w:lineRule="auto"/>
        <w:ind w:right="38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w razie zaistnienia, określonych w Ustawie i IRiESD, podstaw do rozpoczęcia sprzedaży rezerwowej, otrzymuje od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działającego w imieniu i na rzecz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URD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oświadczenie  o przyjęciu jego oferty. Zawarcie umowy sprzedaży rezerwowej następuje poprzez złożenie przez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OSD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oświadczenia o przyjęciu oferty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Sprzedawcy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w terminie wynikającym z Ustawy. Oświadczenie może obejmować łącznie wszystkich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URD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, dla których zaistniały podstawy  do rozpoczęcia sprzedaży rezerwowej, </w:t>
      </w:r>
    </w:p>
    <w:p w14:paraId="1AC78909" w14:textId="3CDA8244" w:rsidR="00522C62" w:rsidRPr="00522C62" w:rsidRDefault="00522C62" w:rsidP="00522C62">
      <w:pPr>
        <w:pStyle w:val="Akapitzlist"/>
        <w:numPr>
          <w:ilvl w:val="0"/>
          <w:numId w:val="5"/>
        </w:numPr>
        <w:tabs>
          <w:tab w:val="clear" w:pos="4536"/>
          <w:tab w:val="clear" w:pos="9072"/>
        </w:tabs>
        <w:spacing w:after="142" w:line="271" w:lineRule="auto"/>
        <w:ind w:right="38"/>
        <w:rPr>
          <w:rFonts w:ascii="Arial" w:eastAsia="Arial" w:hAnsi="Arial" w:cs="Arial"/>
          <w:kern w:val="2"/>
          <w:sz w:val="22"/>
          <w:szCs w:val="22"/>
          <w14:ligatures w14:val="standardContextual"/>
        </w:rPr>
      </w:pP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otrzymuje oświadczenie, o którym mowa w pkt 3), wraz z danymi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URD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, w</w:t>
      </w:r>
      <w:r w:rsidR="002A0E69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formie </w:t>
      </w:r>
      <w:r w:rsidR="002A0E69">
        <w:rPr>
          <w:rFonts w:ascii="Arial" w:eastAsia="Arial" w:hAnsi="Arial" w:cs="Arial"/>
          <w:kern w:val="2"/>
          <w:sz w:val="22"/>
          <w:szCs w:val="22"/>
          <w14:ligatures w14:val="standardContextual"/>
        </w:rPr>
        <w:br/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e-mail na adres poczty elektronicznej wskazany w Załączniku nr </w:t>
      </w:r>
      <w:r w:rsidR="00B2600A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>2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 do </w:t>
      </w:r>
      <w:r w:rsidRPr="00522C62">
        <w:rPr>
          <w:rFonts w:ascii="Arial" w:eastAsia="Arial" w:hAnsi="Arial" w:cs="Arial"/>
          <w:b/>
          <w:kern w:val="2"/>
          <w:sz w:val="22"/>
          <w:szCs w:val="22"/>
          <w14:ligatures w14:val="standardContextual"/>
        </w:rPr>
        <w:t>Umowy</w:t>
      </w:r>
      <w:r w:rsidRPr="00522C62">
        <w:rPr>
          <w:rFonts w:ascii="Arial" w:eastAsia="Arial" w:hAnsi="Arial" w:cs="Arial"/>
          <w:kern w:val="2"/>
          <w:sz w:val="22"/>
          <w:szCs w:val="22"/>
          <w14:ligatures w14:val="standardContextual"/>
        </w:rPr>
        <w:t xml:space="preserve">. </w:t>
      </w:r>
    </w:p>
    <w:p w14:paraId="319D8464" w14:textId="225C54C9" w:rsidR="00F04AA9" w:rsidRPr="00F94FBA" w:rsidRDefault="00522C62" w:rsidP="007B0DB3">
      <w:pPr>
        <w:numPr>
          <w:ilvl w:val="0"/>
          <w:numId w:val="3"/>
        </w:numPr>
        <w:tabs>
          <w:tab w:val="clear" w:pos="4536"/>
          <w:tab w:val="clear" w:pos="9072"/>
        </w:tabs>
        <w:spacing w:after="142" w:line="271" w:lineRule="auto"/>
        <w:ind w:left="709" w:right="38" w:hanging="281"/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</w:pPr>
      <w:r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Zawartość oświadczenia, o którym mowa w ust. 1 pkt 3, określ</w:t>
      </w:r>
      <w:r w:rsidR="002A0E69"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on</w:t>
      </w:r>
      <w:r w:rsidR="00F94FBA"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a</w:t>
      </w:r>
      <w:r w:rsidR="002A0E69"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</w:t>
      </w:r>
      <w:r w:rsidR="00F94FBA"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jest</w:t>
      </w:r>
      <w:r w:rsidR="002A0E69"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 </w:t>
      </w:r>
      <w:r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w </w:t>
      </w:r>
      <w:proofErr w:type="spellStart"/>
      <w:r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>IRiESD</w:t>
      </w:r>
      <w:proofErr w:type="spellEnd"/>
      <w:r w:rsidRPr="00F94FBA">
        <w:rPr>
          <w:rFonts w:ascii="Arial" w:eastAsia="Arial" w:hAnsi="Arial" w:cs="Arial"/>
          <w:color w:val="auto"/>
          <w:kern w:val="2"/>
          <w:sz w:val="22"/>
          <w:szCs w:val="22"/>
          <w14:ligatures w14:val="standardContextual"/>
        </w:rPr>
        <w:t xml:space="preserve">.  </w:t>
      </w:r>
    </w:p>
    <w:p w14:paraId="02ECCEAB" w14:textId="77777777" w:rsidR="00F04AA9" w:rsidRPr="0049332B" w:rsidRDefault="00F04AA9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8F59D5" w:rsidRPr="00F43D78" w14:paraId="7896D913" w14:textId="77777777" w:rsidTr="00E5026A">
        <w:tc>
          <w:tcPr>
            <w:tcW w:w="9286" w:type="dxa"/>
            <w:gridSpan w:val="2"/>
            <w:vAlign w:val="center"/>
          </w:tcPr>
          <w:p w14:paraId="51C11D88" w14:textId="77777777" w:rsidR="008F59D5" w:rsidRPr="00F43D78" w:rsidRDefault="008F59D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8F59D5" w:rsidRPr="00F43D78" w14:paraId="3D019B51" w14:textId="77777777" w:rsidTr="00E5026A">
        <w:tc>
          <w:tcPr>
            <w:tcW w:w="9286" w:type="dxa"/>
            <w:gridSpan w:val="2"/>
            <w:vAlign w:val="center"/>
          </w:tcPr>
          <w:p w14:paraId="4E12A99C" w14:textId="77777777" w:rsidR="008F59D5" w:rsidRPr="00F43D78" w:rsidRDefault="008F59D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9D5" w:rsidRPr="00F43D78" w14:paraId="301B25CF" w14:textId="77777777" w:rsidTr="00E5026A">
        <w:tc>
          <w:tcPr>
            <w:tcW w:w="4643" w:type="dxa"/>
          </w:tcPr>
          <w:p w14:paraId="01B03D82" w14:textId="3A88DBB1" w:rsidR="008F59D5" w:rsidRPr="00F43D78" w:rsidRDefault="00ED21BD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OSD</w:t>
            </w:r>
          </w:p>
        </w:tc>
        <w:tc>
          <w:tcPr>
            <w:tcW w:w="4643" w:type="dxa"/>
          </w:tcPr>
          <w:p w14:paraId="613457DA" w14:textId="1887FDCE" w:rsidR="008F59D5" w:rsidRPr="00F43D78" w:rsidRDefault="00ED21BD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Sprzedawca</w:t>
            </w:r>
          </w:p>
        </w:tc>
      </w:tr>
      <w:tr w:rsidR="008F59D5" w:rsidRPr="00F43D78" w14:paraId="078BFFD4" w14:textId="77777777" w:rsidTr="00E5026A">
        <w:tc>
          <w:tcPr>
            <w:tcW w:w="4643" w:type="dxa"/>
          </w:tcPr>
          <w:p w14:paraId="1C8637FD" w14:textId="77777777" w:rsidR="008F59D5" w:rsidRPr="00F43D78" w:rsidRDefault="008F59D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14:paraId="641EAAD1" w14:textId="77777777" w:rsidR="008F59D5" w:rsidRPr="00F43D78" w:rsidRDefault="008F59D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9D5" w:rsidRPr="00F43D78" w14:paraId="110D814C" w14:textId="77777777" w:rsidTr="00E5026A">
        <w:trPr>
          <w:trHeight w:val="831"/>
        </w:trPr>
        <w:tc>
          <w:tcPr>
            <w:tcW w:w="4643" w:type="dxa"/>
            <w:vAlign w:val="center"/>
          </w:tcPr>
          <w:p w14:paraId="20E20AB6" w14:textId="77777777" w:rsidR="008F59D5" w:rsidRPr="00F43D78" w:rsidRDefault="008F59D5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1AC19F6B" w14:textId="77777777" w:rsidR="008F59D5" w:rsidRPr="00F43D78" w:rsidRDefault="008F59D5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8F59D5" w:rsidRPr="00F43D78" w14:paraId="2F09659D" w14:textId="77777777" w:rsidTr="00E5026A">
        <w:trPr>
          <w:trHeight w:val="840"/>
        </w:trPr>
        <w:tc>
          <w:tcPr>
            <w:tcW w:w="4643" w:type="dxa"/>
            <w:vAlign w:val="center"/>
          </w:tcPr>
          <w:p w14:paraId="4E2607A4" w14:textId="77777777" w:rsidR="008F59D5" w:rsidRPr="00F43D78" w:rsidRDefault="008F59D5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23FFFFE9" w14:textId="77777777" w:rsidR="008F59D5" w:rsidRPr="00F43D78" w:rsidRDefault="008F59D5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168BF4F4" w14:textId="77777777" w:rsidR="00F04AA9" w:rsidRPr="0049332B" w:rsidRDefault="00F04AA9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124101F8" w14:textId="77777777" w:rsidR="00F04AA9" w:rsidRPr="0049332B" w:rsidRDefault="00F04AA9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62F54BF3" w14:textId="77777777" w:rsidR="00A970CB" w:rsidRPr="0049332B" w:rsidRDefault="00A970CB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776FA6B4" w14:textId="77777777" w:rsidR="001B0D1E" w:rsidRPr="007F1871" w:rsidRDefault="001B0D1E" w:rsidP="009A28DC">
      <w:pPr>
        <w:pStyle w:val="Stylwyliczanie"/>
        <w:numPr>
          <w:ilvl w:val="0"/>
          <w:numId w:val="0"/>
        </w:numPr>
        <w:tabs>
          <w:tab w:val="clear" w:pos="851"/>
          <w:tab w:val="clear" w:pos="4536"/>
          <w:tab w:val="clear" w:pos="9072"/>
        </w:tabs>
        <w:spacing w:after="240" w:line="252" w:lineRule="auto"/>
        <w:rPr>
          <w:i/>
          <w:sz w:val="16"/>
          <w:szCs w:val="16"/>
        </w:rPr>
      </w:pPr>
    </w:p>
    <w:sectPr w:rsidR="001B0D1E" w:rsidRPr="007F1871" w:rsidSect="00522C62">
      <w:footerReference w:type="default" r:id="rId7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8105C" w14:textId="77777777" w:rsidR="008C5D12" w:rsidRDefault="008C5D12">
      <w:r>
        <w:separator/>
      </w:r>
    </w:p>
  </w:endnote>
  <w:endnote w:type="continuationSeparator" w:id="0">
    <w:p w14:paraId="6151ECC5" w14:textId="77777777" w:rsidR="008C5D12" w:rsidRDefault="008C5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1DD8C" w14:textId="77777777" w:rsidR="007C6FD8" w:rsidRPr="00C24362" w:rsidRDefault="007C6FD8" w:rsidP="00A970CB">
    <w:pPr>
      <w:pBdr>
        <w:top w:val="single" w:sz="6" w:space="0" w:color="auto"/>
      </w:pBdr>
      <w:spacing w:before="240"/>
      <w:jc w:val="center"/>
      <w:rPr>
        <w:rFonts w:ascii="Arial" w:hAnsi="Arial" w:cs="Arial"/>
        <w:i/>
        <w:sz w:val="20"/>
        <w:szCs w:val="20"/>
      </w:rPr>
    </w:pPr>
    <w:r w:rsidRPr="00C24362">
      <w:rPr>
        <w:rFonts w:ascii="Arial" w:hAnsi="Arial" w:cs="Arial"/>
        <w:i/>
        <w:sz w:val="20"/>
        <w:szCs w:val="20"/>
      </w:rPr>
      <w:t xml:space="preserve">Strona </w:t>
    </w:r>
    <w:r w:rsidRPr="00C24362">
      <w:rPr>
        <w:rFonts w:ascii="Arial" w:hAnsi="Arial" w:cs="Arial"/>
        <w:i/>
        <w:sz w:val="20"/>
        <w:szCs w:val="20"/>
      </w:rPr>
      <w:fldChar w:fldCharType="begin"/>
    </w:r>
    <w:r w:rsidRPr="00C24362">
      <w:rPr>
        <w:rFonts w:ascii="Arial" w:hAnsi="Arial" w:cs="Arial"/>
        <w:i/>
        <w:sz w:val="20"/>
        <w:szCs w:val="20"/>
      </w:rPr>
      <w:instrText xml:space="preserve"> PAGE </w:instrText>
    </w:r>
    <w:r w:rsidRPr="00C24362">
      <w:rPr>
        <w:rFonts w:ascii="Arial" w:hAnsi="Arial" w:cs="Arial"/>
        <w:i/>
        <w:sz w:val="20"/>
        <w:szCs w:val="20"/>
      </w:rPr>
      <w:fldChar w:fldCharType="separate"/>
    </w:r>
    <w:r w:rsidR="003C4BDE">
      <w:rPr>
        <w:rFonts w:ascii="Arial" w:hAnsi="Arial" w:cs="Arial"/>
        <w:i/>
        <w:noProof/>
        <w:sz w:val="20"/>
        <w:szCs w:val="20"/>
      </w:rPr>
      <w:t>1</w:t>
    </w:r>
    <w:r w:rsidRPr="00C24362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1</w:t>
    </w:r>
  </w:p>
  <w:p w14:paraId="608D2677" w14:textId="628C3A6F" w:rsidR="007C6FD8" w:rsidRDefault="00ED21BD">
    <w:pPr>
      <w:pStyle w:val="Stopka"/>
    </w:pPr>
    <w:r>
      <w:rPr>
        <w:rFonts w:ascii="Arial" w:hAnsi="Arial" w:cs="Arial"/>
        <w:i/>
        <w:sz w:val="20"/>
        <w:szCs w:val="20"/>
      </w:rPr>
      <w:t>OSD</w:t>
    </w:r>
    <w:r w:rsidR="007C6FD8" w:rsidRPr="006759D1">
      <w:rPr>
        <w:rFonts w:ascii="Arial" w:hAnsi="Arial" w:cs="Arial"/>
        <w:i/>
        <w:sz w:val="20"/>
        <w:szCs w:val="20"/>
      </w:rPr>
      <w:t xml:space="preserve">      </w:t>
    </w:r>
    <w:r w:rsidR="007C6FD8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7C6FD8" w:rsidRPr="006759D1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SPRZEDAWCA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B7420" w14:textId="77777777" w:rsidR="008C5D12" w:rsidRDefault="008C5D12">
      <w:r>
        <w:separator/>
      </w:r>
    </w:p>
  </w:footnote>
  <w:footnote w:type="continuationSeparator" w:id="0">
    <w:p w14:paraId="5FDEA4B7" w14:textId="77777777" w:rsidR="008C5D12" w:rsidRDefault="008C5D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A7913"/>
    <w:multiLevelType w:val="hybridMultilevel"/>
    <w:tmpl w:val="65C49DDC"/>
    <w:lvl w:ilvl="0" w:tplc="D580164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111F1"/>
    <w:multiLevelType w:val="hybridMultilevel"/>
    <w:tmpl w:val="FD508508"/>
    <w:lvl w:ilvl="0" w:tplc="04687BA6">
      <w:start w:val="1"/>
      <w:numFmt w:val="decimal"/>
      <w:lvlText w:val="%1."/>
      <w:lvlJc w:val="left"/>
      <w:pPr>
        <w:ind w:left="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4946C8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DA183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B0AC46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F2754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F69C0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E207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E8EE1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A2C7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6977156"/>
    <w:multiLevelType w:val="hybridMultilevel"/>
    <w:tmpl w:val="9AB0D07C"/>
    <w:lvl w:ilvl="0" w:tplc="BB566BA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F927038">
      <w:start w:val="3"/>
      <w:numFmt w:val="decimal"/>
      <w:lvlText w:val="%2)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BEE56E">
      <w:start w:val="1"/>
      <w:numFmt w:val="lowerRoman"/>
      <w:lvlText w:val="%3"/>
      <w:lvlJc w:val="left"/>
      <w:pPr>
        <w:ind w:left="1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10EF2E">
      <w:start w:val="1"/>
      <w:numFmt w:val="decimal"/>
      <w:lvlText w:val="%4"/>
      <w:lvlJc w:val="left"/>
      <w:pPr>
        <w:ind w:left="2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76C4E2C">
      <w:start w:val="1"/>
      <w:numFmt w:val="lowerLetter"/>
      <w:lvlText w:val="%5"/>
      <w:lvlJc w:val="left"/>
      <w:pPr>
        <w:ind w:left="2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1E952A">
      <w:start w:val="1"/>
      <w:numFmt w:val="lowerRoman"/>
      <w:lvlText w:val="%6"/>
      <w:lvlJc w:val="left"/>
      <w:pPr>
        <w:ind w:left="3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312046C">
      <w:start w:val="1"/>
      <w:numFmt w:val="decimal"/>
      <w:lvlText w:val="%7"/>
      <w:lvlJc w:val="left"/>
      <w:pPr>
        <w:ind w:left="4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56A725A">
      <w:start w:val="1"/>
      <w:numFmt w:val="lowerLetter"/>
      <w:lvlText w:val="%8"/>
      <w:lvlJc w:val="left"/>
      <w:pPr>
        <w:ind w:left="51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A9C6ECE">
      <w:start w:val="1"/>
      <w:numFmt w:val="lowerRoman"/>
      <w:lvlText w:val="%9"/>
      <w:lvlJc w:val="left"/>
      <w:pPr>
        <w:ind w:left="58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47801B1"/>
    <w:multiLevelType w:val="hybridMultilevel"/>
    <w:tmpl w:val="41CCC08C"/>
    <w:lvl w:ilvl="0" w:tplc="6096C9FC">
      <w:start w:val="1"/>
      <w:numFmt w:val="decimal"/>
      <w:lvlText w:val="%1)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4" w15:restartNumberingAfterBreak="0">
    <w:nsid w:val="794F0C42"/>
    <w:multiLevelType w:val="multilevel"/>
    <w:tmpl w:val="C200FBD2"/>
    <w:lvl w:ilvl="0">
      <w:start w:val="1"/>
      <w:numFmt w:val="decimal"/>
      <w:pStyle w:val="Stylwyliczanie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09507785">
    <w:abstractNumId w:val="0"/>
  </w:num>
  <w:num w:numId="2" w16cid:durableId="1475827257">
    <w:abstractNumId w:val="4"/>
  </w:num>
  <w:num w:numId="3" w16cid:durableId="1397973203">
    <w:abstractNumId w:val="1"/>
  </w:num>
  <w:num w:numId="4" w16cid:durableId="1365788923">
    <w:abstractNumId w:val="2"/>
  </w:num>
  <w:num w:numId="5" w16cid:durableId="1533493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27"/>
    <w:rsid w:val="000172F5"/>
    <w:rsid w:val="00027649"/>
    <w:rsid w:val="0003667A"/>
    <w:rsid w:val="00071127"/>
    <w:rsid w:val="000968BE"/>
    <w:rsid w:val="000B1325"/>
    <w:rsid w:val="000F7522"/>
    <w:rsid w:val="00180DC8"/>
    <w:rsid w:val="00195595"/>
    <w:rsid w:val="001B0D1E"/>
    <w:rsid w:val="00235E95"/>
    <w:rsid w:val="00255309"/>
    <w:rsid w:val="002A0E69"/>
    <w:rsid w:val="002E3854"/>
    <w:rsid w:val="002F0DFA"/>
    <w:rsid w:val="00356328"/>
    <w:rsid w:val="0035798E"/>
    <w:rsid w:val="003773B4"/>
    <w:rsid w:val="0039435B"/>
    <w:rsid w:val="003B7B27"/>
    <w:rsid w:val="003C4BDE"/>
    <w:rsid w:val="0044065C"/>
    <w:rsid w:val="004466E6"/>
    <w:rsid w:val="00453D42"/>
    <w:rsid w:val="004917A9"/>
    <w:rsid w:val="0049332B"/>
    <w:rsid w:val="004E4E42"/>
    <w:rsid w:val="004F6EB3"/>
    <w:rsid w:val="00501F46"/>
    <w:rsid w:val="00521517"/>
    <w:rsid w:val="00522C62"/>
    <w:rsid w:val="00524D4E"/>
    <w:rsid w:val="005F2243"/>
    <w:rsid w:val="00624A61"/>
    <w:rsid w:val="00625C97"/>
    <w:rsid w:val="0064446B"/>
    <w:rsid w:val="00656FCA"/>
    <w:rsid w:val="0066698C"/>
    <w:rsid w:val="00670F7E"/>
    <w:rsid w:val="00686751"/>
    <w:rsid w:val="00693D6C"/>
    <w:rsid w:val="006E6B4E"/>
    <w:rsid w:val="007248DA"/>
    <w:rsid w:val="00736603"/>
    <w:rsid w:val="00792B22"/>
    <w:rsid w:val="007A4985"/>
    <w:rsid w:val="007B0DB3"/>
    <w:rsid w:val="007C6FD8"/>
    <w:rsid w:val="007F1871"/>
    <w:rsid w:val="00805F5E"/>
    <w:rsid w:val="00811945"/>
    <w:rsid w:val="00857715"/>
    <w:rsid w:val="0086178B"/>
    <w:rsid w:val="00872898"/>
    <w:rsid w:val="00875630"/>
    <w:rsid w:val="008C5D12"/>
    <w:rsid w:val="008F59D5"/>
    <w:rsid w:val="00952AEC"/>
    <w:rsid w:val="00952E52"/>
    <w:rsid w:val="009706FB"/>
    <w:rsid w:val="009A28DC"/>
    <w:rsid w:val="009B1ADC"/>
    <w:rsid w:val="009B73BF"/>
    <w:rsid w:val="009F4F80"/>
    <w:rsid w:val="00A66742"/>
    <w:rsid w:val="00A67D2B"/>
    <w:rsid w:val="00A878AA"/>
    <w:rsid w:val="00A970CB"/>
    <w:rsid w:val="00AF371C"/>
    <w:rsid w:val="00B0483C"/>
    <w:rsid w:val="00B2600A"/>
    <w:rsid w:val="00B66941"/>
    <w:rsid w:val="00B9712C"/>
    <w:rsid w:val="00C046C6"/>
    <w:rsid w:val="00C24362"/>
    <w:rsid w:val="00C34A7E"/>
    <w:rsid w:val="00C6519C"/>
    <w:rsid w:val="00CD1C62"/>
    <w:rsid w:val="00D125E8"/>
    <w:rsid w:val="00D402A3"/>
    <w:rsid w:val="00D8134D"/>
    <w:rsid w:val="00D92933"/>
    <w:rsid w:val="00D9670B"/>
    <w:rsid w:val="00DC76B3"/>
    <w:rsid w:val="00DC7B93"/>
    <w:rsid w:val="00E763BD"/>
    <w:rsid w:val="00EC6E2D"/>
    <w:rsid w:val="00ED21BD"/>
    <w:rsid w:val="00EF2C7B"/>
    <w:rsid w:val="00F03A8C"/>
    <w:rsid w:val="00F04AA9"/>
    <w:rsid w:val="00F04D77"/>
    <w:rsid w:val="00F14056"/>
    <w:rsid w:val="00F143BC"/>
    <w:rsid w:val="00F408B6"/>
    <w:rsid w:val="00F7490D"/>
    <w:rsid w:val="00F94FBA"/>
    <w:rsid w:val="00FA08A2"/>
    <w:rsid w:val="00FA3382"/>
    <w:rsid w:val="00FC319C"/>
    <w:rsid w:val="00FD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F0102"/>
  <w15:docId w15:val="{0A783CE6-449A-4E60-B33E-489A058D5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7B27"/>
    <w:pPr>
      <w:tabs>
        <w:tab w:val="center" w:pos="4536"/>
        <w:tab w:val="right" w:pos="9072"/>
      </w:tabs>
      <w:jc w:val="both"/>
    </w:pPr>
    <w:rPr>
      <w:color w:val="000000"/>
      <w:sz w:val="24"/>
      <w:szCs w:val="26"/>
    </w:rPr>
  </w:style>
  <w:style w:type="paragraph" w:styleId="Nagwek5">
    <w:name w:val="heading 5"/>
    <w:basedOn w:val="Normalny"/>
    <w:next w:val="Normalny"/>
    <w:link w:val="Nagwek5Znak"/>
    <w:qFormat/>
    <w:rsid w:val="003B7B27"/>
    <w:pPr>
      <w:keepNext/>
      <w:outlineLvl w:val="4"/>
    </w:pPr>
    <w:rPr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wyliczanie">
    <w:name w:val="Styl wyliczanie"/>
    <w:basedOn w:val="Normalny"/>
    <w:rsid w:val="003B7B27"/>
    <w:pPr>
      <w:numPr>
        <w:numId w:val="2"/>
      </w:numPr>
      <w:tabs>
        <w:tab w:val="left" w:pos="851"/>
      </w:tabs>
      <w:spacing w:before="120"/>
    </w:pPr>
  </w:style>
  <w:style w:type="paragraph" w:styleId="Tekstprzypisudolnego">
    <w:name w:val="footnote text"/>
    <w:basedOn w:val="Normalny"/>
    <w:semiHidden/>
    <w:rsid w:val="003B7B27"/>
    <w:rPr>
      <w:sz w:val="20"/>
      <w:szCs w:val="20"/>
    </w:rPr>
  </w:style>
  <w:style w:type="paragraph" w:styleId="Tekstpodstawowy3">
    <w:name w:val="Body Text 3"/>
    <w:basedOn w:val="Normalny"/>
    <w:rsid w:val="003B7B27"/>
    <w:pPr>
      <w:spacing w:line="360" w:lineRule="auto"/>
      <w:jc w:val="center"/>
    </w:pPr>
    <w:rPr>
      <w:b/>
      <w:bCs/>
      <w:sz w:val="18"/>
      <w:szCs w:val="16"/>
    </w:rPr>
  </w:style>
  <w:style w:type="table" w:styleId="Tabela-Siatka">
    <w:name w:val="Table Grid"/>
    <w:basedOn w:val="Standardowy"/>
    <w:rsid w:val="00670F7E"/>
    <w:pPr>
      <w:tabs>
        <w:tab w:val="center" w:pos="4536"/>
        <w:tab w:val="right" w:pos="9072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0">
    <w:name w:val="styl0"/>
    <w:basedOn w:val="Normalny"/>
    <w:rsid w:val="00A970CB"/>
    <w:rPr>
      <w:color w:val="auto"/>
      <w:szCs w:val="20"/>
    </w:rPr>
  </w:style>
  <w:style w:type="paragraph" w:styleId="Nagwek">
    <w:name w:val="header"/>
    <w:basedOn w:val="Normalny"/>
    <w:rsid w:val="00A970CB"/>
  </w:style>
  <w:style w:type="paragraph" w:styleId="Stopka">
    <w:name w:val="footer"/>
    <w:basedOn w:val="Normalny"/>
    <w:rsid w:val="00A970CB"/>
  </w:style>
  <w:style w:type="paragraph" w:styleId="Tekstpodstawowy">
    <w:name w:val="Body Text"/>
    <w:basedOn w:val="Normalny"/>
    <w:link w:val="TekstpodstawowyZnak"/>
    <w:rsid w:val="009A28DC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A28DC"/>
    <w:rPr>
      <w:color w:val="000000"/>
      <w:sz w:val="24"/>
      <w:szCs w:val="26"/>
    </w:rPr>
  </w:style>
  <w:style w:type="character" w:customStyle="1" w:styleId="Nagwek5Znak">
    <w:name w:val="Nagłówek 5 Znak"/>
    <w:link w:val="Nagwek5"/>
    <w:rsid w:val="00792B22"/>
    <w:rPr>
      <w:b/>
      <w:bCs/>
      <w:color w:val="000000"/>
      <w:sz w:val="24"/>
    </w:rPr>
  </w:style>
  <w:style w:type="paragraph" w:styleId="Tekstdymka">
    <w:name w:val="Balloon Text"/>
    <w:basedOn w:val="Normalny"/>
    <w:link w:val="TekstdymkaZnak"/>
    <w:rsid w:val="008F59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59D5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C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ZEŁ-T S.A.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esk@es-k.pl</dc:creator>
  <cp:lastModifiedBy>Robert Rześny</cp:lastModifiedBy>
  <cp:revision>5</cp:revision>
  <dcterms:created xsi:type="dcterms:W3CDTF">2024-07-01T09:53:00Z</dcterms:created>
  <dcterms:modified xsi:type="dcterms:W3CDTF">2024-07-02T08:02:00Z</dcterms:modified>
</cp:coreProperties>
</file>